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20C169D5" w:rsidR="002E3874" w:rsidRPr="00DB0D88" w:rsidRDefault="002E3874" w:rsidP="00DB0D88">
      <w:pPr>
        <w:pStyle w:val="Nagwek1"/>
      </w:pPr>
      <w:bookmarkStart w:id="0" w:name="_Toc207795728"/>
      <w:r w:rsidRPr="00DB0D88">
        <w:t xml:space="preserve">Uchwała Nr </w:t>
      </w:r>
      <w:r w:rsidR="0039555F">
        <w:t>80</w:t>
      </w:r>
      <w:r w:rsidR="003C6C6E" w:rsidRPr="00DB0D88">
        <w:t>/202</w:t>
      </w:r>
      <w:r w:rsidR="00DD431B" w:rsidRPr="00DB0D88">
        <w:t>5</w:t>
      </w:r>
      <w:bookmarkEnd w:id="0"/>
    </w:p>
    <w:p w14:paraId="5636704E" w14:textId="5F673B0A" w:rsidR="007C2127" w:rsidRPr="00DB0D88" w:rsidRDefault="002E3874" w:rsidP="005A6E51">
      <w:pPr>
        <w:spacing w:before="0" w:beforeAutospacing="0"/>
      </w:pPr>
      <w:r w:rsidRPr="00DB0D88">
        <w:t>Komitetu Monitorującego</w:t>
      </w:r>
    </w:p>
    <w:p w14:paraId="017F39A8" w14:textId="77777777" w:rsidR="002E3874" w:rsidRPr="00DB0D88" w:rsidRDefault="00F57F6C" w:rsidP="005A6E51">
      <w:pPr>
        <w:spacing w:before="0" w:beforeAutospacing="0"/>
      </w:pPr>
      <w:r w:rsidRPr="00DB0D88">
        <w:t>program</w:t>
      </w:r>
      <w:r w:rsidR="002E3874" w:rsidRPr="00DB0D88">
        <w:t xml:space="preserve"> </w:t>
      </w:r>
      <w:r w:rsidRPr="00DB0D88">
        <w:t>Fundusze Europejskie dla Kujaw i Pomorza 2021-2027</w:t>
      </w:r>
    </w:p>
    <w:p w14:paraId="08D382EE" w14:textId="32F10F70" w:rsidR="009808D9" w:rsidRPr="00DB0D88" w:rsidRDefault="002E3874" w:rsidP="005A6E51">
      <w:pPr>
        <w:spacing w:before="0" w:beforeAutospacing="0"/>
      </w:pPr>
      <w:r w:rsidRPr="00DB0D88">
        <w:t xml:space="preserve">z </w:t>
      </w:r>
      <w:bookmarkStart w:id="1" w:name="_Hlk129771518"/>
      <w:r w:rsidR="00F030CE" w:rsidRPr="00DB0D88">
        <w:t>16 grudnia</w:t>
      </w:r>
      <w:r w:rsidR="00F449A9" w:rsidRPr="00DB0D88">
        <w:t xml:space="preserve"> </w:t>
      </w:r>
      <w:r w:rsidR="00F57F6C" w:rsidRPr="00DB0D88">
        <w:t>202</w:t>
      </w:r>
      <w:r w:rsidR="00DD431B" w:rsidRPr="00DB0D88">
        <w:t>5</w:t>
      </w:r>
      <w:r w:rsidR="00F57F6C" w:rsidRPr="00DB0D88">
        <w:t xml:space="preserve"> r.</w:t>
      </w:r>
      <w:bookmarkEnd w:id="1"/>
    </w:p>
    <w:p w14:paraId="10D0E293" w14:textId="27BBFAEF" w:rsidR="00F030CE" w:rsidRPr="00DB0D88" w:rsidRDefault="00F030CE" w:rsidP="00F030CE">
      <w:pPr>
        <w:rPr>
          <w:rFonts w:cs="Arial"/>
        </w:rPr>
      </w:pPr>
      <w:r w:rsidRPr="00DB0D88">
        <w:rPr>
          <w:rFonts w:cs="Arial"/>
        </w:rPr>
        <w:t xml:space="preserve">w sprawie zatwierdzenia zmian programu Fundusze Europejskie dla Kujaw i Pomorza 2021-2027 związanych </w:t>
      </w:r>
      <w:r w:rsidR="007E1AF4" w:rsidRPr="00DB0D88">
        <w:rPr>
          <w:rFonts w:cs="Arial"/>
        </w:rPr>
        <w:t xml:space="preserve">z </w:t>
      </w:r>
      <w:r w:rsidRPr="00DB0D88">
        <w:rPr>
          <w:rFonts w:cs="Arial"/>
        </w:rPr>
        <w:t>prowadzonym drugim przeglądem śródokresowym programu.</w:t>
      </w:r>
    </w:p>
    <w:p w14:paraId="7CFFFF62" w14:textId="467F755D" w:rsidR="005A6E51" w:rsidRPr="00DB0D88" w:rsidRDefault="00F030CE" w:rsidP="00F030CE">
      <w:pPr>
        <w:spacing w:before="0" w:beforeAutospacing="0" w:after="120" w:afterAutospacing="0"/>
        <w:contextualSpacing/>
        <w:jc w:val="both"/>
        <w:rPr>
          <w:rFonts w:eastAsia="Calibri" w:cs="Arial"/>
        </w:rPr>
      </w:pPr>
      <w:r w:rsidRPr="00DB0D88">
        <w:rPr>
          <w:rFonts w:cs="Arial"/>
        </w:rPr>
        <w:t xml:space="preserve">Na podstawie Rozdziału 7, ust. 4 lit. d) Wytycznych dotyczących  komitetów monitorujących na lata 2021-2027 z dnia 21 września 2022 r. (ze zm.), § 4, ust. 5 pkt. 4) Regulaminu Komitetu Monitorującego program  Fundusze Europejskie dla Kujaw i Pomorza 2021-2027 z 10 marca 2023 r. (ze zm.) </w:t>
      </w:r>
      <w:r w:rsidR="007E1AF4" w:rsidRPr="00DB0D88">
        <w:rPr>
          <w:rFonts w:cs="Arial"/>
        </w:rPr>
        <w:t xml:space="preserve">oraz na podstawie art. 40 ust. 2 rozporządzenia ogólnego </w:t>
      </w:r>
      <w:r w:rsidRPr="00DB0D88">
        <w:rPr>
          <w:rFonts w:cs="Arial"/>
        </w:rPr>
        <w:t>uchwala się, co następuje:</w:t>
      </w:r>
    </w:p>
    <w:p w14:paraId="0403E3D0" w14:textId="2ECD2F68" w:rsidR="00F030CE" w:rsidRPr="00DB0D88" w:rsidRDefault="00F030CE" w:rsidP="00DB0D88">
      <w:pPr>
        <w:suppressAutoHyphens/>
        <w:autoSpaceDE w:val="0"/>
        <w:autoSpaceDN w:val="0"/>
        <w:adjustRightInd w:val="0"/>
        <w:jc w:val="both"/>
        <w:outlineLvl w:val="0"/>
        <w:rPr>
          <w:rFonts w:cs="Arial"/>
          <w:lang w:eastAsia="ar-SA"/>
        </w:rPr>
      </w:pPr>
      <w:r w:rsidRPr="00DB0D88">
        <w:rPr>
          <w:rFonts w:cs="Arial"/>
          <w:lang w:eastAsia="ar-SA"/>
        </w:rPr>
        <w:t>§</w:t>
      </w:r>
      <w:r w:rsidR="00A72A40" w:rsidRPr="00DB0D88">
        <w:rPr>
          <w:rFonts w:cs="Arial"/>
          <w:lang w:eastAsia="ar-SA"/>
        </w:rPr>
        <w:t>1</w:t>
      </w:r>
      <w:r w:rsidRPr="00DB0D88">
        <w:rPr>
          <w:rFonts w:cs="Arial"/>
          <w:lang w:eastAsia="ar-SA"/>
        </w:rPr>
        <w:t xml:space="preserve">. Zatwierdza się propozycję zmian programu regionalnego: Fundusze Europejskie dla Kujaw i Pomorza 2021-2027 wymagających decyzji Komisji Europejskiej zgodnie z art. 24 ust. 1 rozporządzenia nr 2021/1060. Wykaz zmian stanowi załącznik nr </w:t>
      </w:r>
      <w:r w:rsidR="00BC481E" w:rsidRPr="00DB0D88">
        <w:rPr>
          <w:rFonts w:cs="Arial"/>
          <w:lang w:eastAsia="ar-SA"/>
        </w:rPr>
        <w:t>1</w:t>
      </w:r>
      <w:r w:rsidRPr="00DB0D88">
        <w:rPr>
          <w:rFonts w:cs="Arial"/>
          <w:lang w:eastAsia="ar-SA"/>
        </w:rPr>
        <w:t xml:space="preserve"> do niniejszej uchwały.</w:t>
      </w:r>
    </w:p>
    <w:p w14:paraId="770048C9" w14:textId="7C5BF64A" w:rsidR="005A6E51" w:rsidRPr="00DB0D88" w:rsidRDefault="00F030CE" w:rsidP="007E1AF4">
      <w:pPr>
        <w:rPr>
          <w:rFonts w:cs="Arial"/>
        </w:rPr>
      </w:pPr>
      <w:r w:rsidRPr="00DB0D88">
        <w:rPr>
          <w:rFonts w:cs="Arial"/>
          <w:bCs/>
          <w:lang w:eastAsia="ar-SA"/>
        </w:rPr>
        <w:t>§</w:t>
      </w:r>
      <w:r w:rsidR="00A72A40" w:rsidRPr="00DB0D88">
        <w:rPr>
          <w:rFonts w:cs="Arial"/>
          <w:bCs/>
          <w:lang w:eastAsia="ar-SA"/>
        </w:rPr>
        <w:t>2</w:t>
      </w:r>
      <w:r w:rsidRPr="00DB0D88">
        <w:rPr>
          <w:rFonts w:cs="Arial"/>
          <w:bCs/>
          <w:lang w:eastAsia="ar-SA"/>
        </w:rPr>
        <w:t>. Projektowane zmiany, o których mowa w § 1, wprowadzone zostaną do programu Fundusze Europejskie dla Kujaw i Pomorza 2021-2027 zatwierdzonego d</w:t>
      </w:r>
      <w:r w:rsidRPr="00DB0D88">
        <w:rPr>
          <w:rFonts w:cs="Arial"/>
          <w:bCs/>
        </w:rPr>
        <w:t xml:space="preserve">ecyzją wykonawczą Komisji Europejskiej </w:t>
      </w:r>
      <w:r w:rsidRPr="00DB0D88">
        <w:rPr>
          <w:rFonts w:cs="Arial"/>
        </w:rPr>
        <w:t>nr C(2025)5609 z 5 sierpnia 2025 r. dot. przyjęcia czwartej wersji programu Fundusze Europejskie dla Kujaw i Pomorza 2021-2027.</w:t>
      </w:r>
    </w:p>
    <w:p w14:paraId="25E6A242" w14:textId="192C3D65" w:rsidR="00F030CE" w:rsidRPr="00DB0D88" w:rsidRDefault="00F030CE" w:rsidP="00DB0D88">
      <w:pPr>
        <w:suppressAutoHyphens/>
        <w:autoSpaceDE w:val="0"/>
        <w:jc w:val="both"/>
        <w:rPr>
          <w:rFonts w:cs="Arial"/>
          <w:bCs/>
        </w:rPr>
      </w:pPr>
      <w:r w:rsidRPr="00DB0D88">
        <w:rPr>
          <w:rFonts w:cs="Arial"/>
          <w:bCs/>
          <w:lang w:eastAsia="ar-SA"/>
        </w:rPr>
        <w:t>§</w:t>
      </w:r>
      <w:r w:rsidR="00A72A40" w:rsidRPr="00DB0D88">
        <w:rPr>
          <w:rFonts w:cs="Arial"/>
          <w:bCs/>
          <w:lang w:eastAsia="ar-SA"/>
        </w:rPr>
        <w:t>3</w:t>
      </w:r>
      <w:r w:rsidRPr="00DB0D88">
        <w:rPr>
          <w:rFonts w:cs="Arial"/>
          <w:bCs/>
          <w:lang w:eastAsia="ar-SA"/>
        </w:rPr>
        <w:t xml:space="preserve">.  Upoważnia się Zarząd Województwa Kujawsko-Pomorskiego do wprowadzenia kolejnych zmian wynikających z negocjacji programu Fundusze Europejskie dla Kujaw </w:t>
      </w:r>
      <w:r w:rsidRPr="00DB0D88">
        <w:rPr>
          <w:rFonts w:cs="Arial"/>
          <w:bCs/>
          <w:lang w:eastAsia="ar-SA"/>
        </w:rPr>
        <w:br/>
        <w:t>i Pomorza 2021</w:t>
      </w:r>
      <w:r w:rsidRPr="00DB0D88">
        <w:rPr>
          <w:rFonts w:cs="Arial"/>
          <w:lang w:eastAsia="ar-SA"/>
        </w:rPr>
        <w:t>-2027, które zostaną przeprowadzone z Komisją Europejską po zatwierdzeniu niniejszej uchwały.</w:t>
      </w:r>
    </w:p>
    <w:p w14:paraId="1716311B" w14:textId="08807396" w:rsidR="00F030CE" w:rsidRPr="00DB0D88" w:rsidRDefault="00F030CE" w:rsidP="00DB0D88">
      <w:pPr>
        <w:autoSpaceDE w:val="0"/>
        <w:autoSpaceDN w:val="0"/>
        <w:adjustRightInd w:val="0"/>
        <w:rPr>
          <w:rFonts w:cs="Arial"/>
        </w:rPr>
      </w:pPr>
      <w:r w:rsidRPr="00DB0D88">
        <w:rPr>
          <w:rFonts w:cs="Arial"/>
          <w:bCs/>
        </w:rPr>
        <w:t>§</w:t>
      </w:r>
      <w:r w:rsidR="00A72A40" w:rsidRPr="00DB0D88">
        <w:rPr>
          <w:rFonts w:cs="Arial"/>
          <w:bCs/>
        </w:rPr>
        <w:t>4</w:t>
      </w:r>
      <w:r w:rsidRPr="00DB0D88">
        <w:rPr>
          <w:rFonts w:cs="Arial"/>
          <w:bCs/>
        </w:rPr>
        <w:t>. Uchwała wchodzi w życie z dniem przyjęcia.</w:t>
      </w:r>
    </w:p>
    <w:p w14:paraId="49669A39" w14:textId="77777777" w:rsidR="00F030CE" w:rsidRPr="00DB0D88" w:rsidRDefault="00F030CE" w:rsidP="00F030CE">
      <w:pPr>
        <w:autoSpaceDE w:val="0"/>
        <w:autoSpaceDN w:val="0"/>
        <w:adjustRightInd w:val="0"/>
        <w:spacing w:before="0" w:beforeAutospacing="0" w:after="0" w:afterAutospacing="0"/>
        <w:ind w:right="-314"/>
        <w:jc w:val="both"/>
        <w:rPr>
          <w:rFonts w:cs="Arial"/>
        </w:rPr>
      </w:pPr>
      <w:r w:rsidRPr="00DB0D88">
        <w:rPr>
          <w:rFonts w:cs="Arial"/>
        </w:rPr>
        <w:t>Przewodniczący Komitetu Monitorującego</w:t>
      </w:r>
    </w:p>
    <w:p w14:paraId="00374624" w14:textId="099C0B04" w:rsidR="00F030CE" w:rsidRPr="00DB0D88" w:rsidRDefault="00F030CE" w:rsidP="00F030CE">
      <w:pPr>
        <w:autoSpaceDE w:val="0"/>
        <w:autoSpaceDN w:val="0"/>
        <w:adjustRightInd w:val="0"/>
        <w:spacing w:before="0" w:beforeAutospacing="0" w:after="0" w:afterAutospacing="0"/>
        <w:ind w:right="-314"/>
        <w:rPr>
          <w:rFonts w:cs="Arial"/>
        </w:rPr>
      </w:pPr>
      <w:r w:rsidRPr="00DB0D88">
        <w:rPr>
          <w:rFonts w:cs="Arial"/>
        </w:rPr>
        <w:t>…………………………….</w:t>
      </w:r>
    </w:p>
    <w:p w14:paraId="3862A01E" w14:textId="59CF8778" w:rsidR="00527437" w:rsidRPr="00DB0D88" w:rsidRDefault="00DA641D" w:rsidP="00DB0D88">
      <w:pPr>
        <w:pStyle w:val="Nagwek1"/>
      </w:pPr>
      <w:r w:rsidRPr="00DB0D88">
        <w:rPr>
          <w:szCs w:val="24"/>
        </w:rPr>
        <w:br w:type="page"/>
      </w:r>
      <w:bookmarkStart w:id="2" w:name="_Toc207795729"/>
      <w:r w:rsidR="00F57F6C" w:rsidRPr="00DB0D88">
        <w:lastRenderedPageBreak/>
        <w:t>Uzasadnienie</w:t>
      </w:r>
      <w:bookmarkEnd w:id="2"/>
    </w:p>
    <w:p w14:paraId="782A06EF" w14:textId="0B7228EF" w:rsidR="00527437" w:rsidRPr="00DB0D88" w:rsidRDefault="00527437" w:rsidP="00527437">
      <w:p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before="0" w:beforeAutospacing="0" w:after="0" w:afterAutospacing="0"/>
        <w:rPr>
          <w:rFonts w:cs="Arial"/>
        </w:rPr>
      </w:pPr>
      <w:r w:rsidRPr="00DB0D88">
        <w:rPr>
          <w:rFonts w:cs="Arial"/>
        </w:rPr>
        <w:t xml:space="preserve">Na podstawie Rozdziału 7, ust. 4 lit. d) Wytycznych dotyczących  komitetów monitorujących na lata 2021-2027 z dnia 21 września 2022 r. (ze zm.), § 4, ust. 5 pkt. 4) Regulaminu Komitetu Monitorującego program  Fundusze Europejskie dla Kujaw i Pomorza 2021-2027 z 10 marca 2023 r. (ze zm.), </w:t>
      </w:r>
      <w:r w:rsidRPr="00DB0D88">
        <w:rPr>
          <w:rFonts w:cs="Arial"/>
          <w:bCs/>
        </w:rPr>
        <w:t>Komitet Monitorujący</w:t>
      </w:r>
      <w:r w:rsidRPr="00DB0D88">
        <w:rPr>
          <w:rFonts w:cs="Arial"/>
        </w:rPr>
        <w:t>, na podstawie art. 40 ust. 2 rozporządzenia ogólnego zatwierdza propozycje IZ dotyczące zmian programu.</w:t>
      </w:r>
    </w:p>
    <w:p w14:paraId="5A61A9C7" w14:textId="5EABC394" w:rsidR="004B2F05" w:rsidRPr="00DA641D" w:rsidRDefault="00527437" w:rsidP="00527437">
      <w:pPr>
        <w:rPr>
          <w:rFonts w:eastAsia="Calibri" w:cs="Arial"/>
          <w:lang w:eastAsia="en-US"/>
        </w:rPr>
      </w:pPr>
      <w:r w:rsidRPr="00DB0D88">
        <w:rPr>
          <w:rFonts w:cs="Arial"/>
          <w:lang w:eastAsia="ar-SA"/>
        </w:rPr>
        <w:t xml:space="preserve">Uchwała dotyczy </w:t>
      </w:r>
      <w:r w:rsidR="00366B1F" w:rsidRPr="00DB0D88">
        <w:rPr>
          <w:rFonts w:cs="Arial"/>
        </w:rPr>
        <w:t>propozycji zmian programu Fundusze Europejskie dla Kujaw i Pomorza 2021-2027 związanych prowadzonym drugim przeglądem śródokresowym programu.</w:t>
      </w:r>
    </w:p>
    <w:sectPr w:rsidR="004B2F05" w:rsidRPr="00DA641D" w:rsidSect="00DB0D8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7137" w14:textId="77777777" w:rsidR="00266643" w:rsidRDefault="00266643" w:rsidP="00D434AF">
      <w:r>
        <w:separator/>
      </w:r>
    </w:p>
  </w:endnote>
  <w:endnote w:type="continuationSeparator" w:id="0">
    <w:p w14:paraId="604D3256" w14:textId="77777777" w:rsidR="00266643" w:rsidRDefault="00266643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EF260" w14:textId="77777777" w:rsidR="00266643" w:rsidRDefault="00266643" w:rsidP="00D434AF">
      <w:r>
        <w:separator/>
      </w:r>
    </w:p>
  </w:footnote>
  <w:footnote w:type="continuationSeparator" w:id="0">
    <w:p w14:paraId="7070FBA7" w14:textId="77777777" w:rsidR="00266643" w:rsidRDefault="00266643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1D8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6643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66B1F"/>
    <w:rsid w:val="00371F02"/>
    <w:rsid w:val="003741F3"/>
    <w:rsid w:val="00374978"/>
    <w:rsid w:val="00375B1D"/>
    <w:rsid w:val="00375D16"/>
    <w:rsid w:val="003813CD"/>
    <w:rsid w:val="00382423"/>
    <w:rsid w:val="00392F87"/>
    <w:rsid w:val="00393573"/>
    <w:rsid w:val="003936F9"/>
    <w:rsid w:val="0039555F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4DED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27437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A6E51"/>
    <w:rsid w:val="005B04C7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1AF4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22F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5157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0D1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2A40"/>
    <w:rsid w:val="00A73F51"/>
    <w:rsid w:val="00A74022"/>
    <w:rsid w:val="00A751EA"/>
    <w:rsid w:val="00A75822"/>
    <w:rsid w:val="00A81869"/>
    <w:rsid w:val="00A87052"/>
    <w:rsid w:val="00A9031B"/>
    <w:rsid w:val="00AA1B05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091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481E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768F3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2823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1EA1"/>
    <w:rsid w:val="00DA23FA"/>
    <w:rsid w:val="00DA26F3"/>
    <w:rsid w:val="00DA51F5"/>
    <w:rsid w:val="00DA641D"/>
    <w:rsid w:val="00DA6585"/>
    <w:rsid w:val="00DB0D88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6F69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0C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214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7C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B0D88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DB0D88"/>
    <w:rPr>
      <w:rFonts w:ascii="Arial" w:hAnsi="Arial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72A4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Dorota Sawicka</cp:lastModifiedBy>
  <cp:revision>5</cp:revision>
  <cp:lastPrinted>2023-03-17T08:57:00Z</cp:lastPrinted>
  <dcterms:created xsi:type="dcterms:W3CDTF">2025-12-15T09:30:00Z</dcterms:created>
  <dcterms:modified xsi:type="dcterms:W3CDTF">2025-12-17T13:45:00Z</dcterms:modified>
</cp:coreProperties>
</file>